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INDIVIDUAL TRAINING ACCOUNT POLICY</w:t>
      </w:r>
    </w:p>
    <w:p w:rsidR="00000000" w:rsidDel="00000000" w:rsidP="00000000" w:rsidRDefault="00000000" w:rsidRPr="00000000" w14:paraId="00000002">
      <w:pPr>
        <w:spacing w:after="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Purpose</w:t>
      </w:r>
    </w:p>
    <w:p w:rsidR="00000000" w:rsidDel="00000000" w:rsidP="00000000" w:rsidRDefault="00000000" w:rsidRPr="00000000" w14:paraId="00000003">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Partner4Work has adopted the following policy with respect to the use of Individual Training Accounts (ITAs) funded through Workforce Innovation and Opportunity Act (WIOA) allocations.</w:t>
      </w:r>
    </w:p>
    <w:p w:rsidR="00000000" w:rsidDel="00000000" w:rsidP="00000000" w:rsidRDefault="00000000" w:rsidRPr="00000000" w14:paraId="00000004">
      <w:pPr>
        <w:spacing w:after="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Affected Parties</w:t>
      </w:r>
    </w:p>
    <w:p w:rsidR="00000000" w:rsidDel="00000000" w:rsidP="00000000" w:rsidRDefault="00000000" w:rsidRPr="00000000" w14:paraId="00000005">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applies to all Pittsburgh/Allegheny County Adult and Dislocated Worker WIOA participants. PA CareerLink® Pittsburgh/Allegheny County WIOA Title I staff is responsible for implementing this policy.</w:t>
      </w:r>
    </w:p>
    <w:p w:rsidR="00000000" w:rsidDel="00000000" w:rsidP="00000000" w:rsidRDefault="00000000" w:rsidRPr="00000000" w14:paraId="00000006">
      <w:pPr>
        <w:spacing w:after="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07">
      <w:pPr>
        <w:spacing w:after="0" w:before="240" w:line="240" w:lineRule="auto"/>
        <w:jc w:val="both"/>
        <w:rPr>
          <w:rFonts w:ascii="Calibri" w:cs="Calibri" w:eastAsia="Calibri" w:hAnsi="Calibri"/>
          <w:i w:val="1"/>
          <w:u w:val="single"/>
        </w:rPr>
      </w:pPr>
      <w:r w:rsidDel="00000000" w:rsidR="00000000" w:rsidRPr="00000000">
        <w:rPr>
          <w:rFonts w:ascii="Calibri" w:cs="Calibri" w:eastAsia="Calibri" w:hAnsi="Calibri"/>
          <w:rtl w:val="0"/>
        </w:rPr>
        <w:t xml:space="preserve">WIOA Section 134(c)(3)</w:t>
      </w:r>
      <w:r w:rsidDel="00000000" w:rsidR="00000000" w:rsidRPr="00000000">
        <w:rPr>
          <w:rtl w:val="0"/>
        </w:rPr>
      </w:r>
    </w:p>
    <w:p w:rsidR="00000000" w:rsidDel="00000000" w:rsidP="00000000" w:rsidRDefault="00000000" w:rsidRPr="00000000" w14:paraId="00000008">
      <w:pPr>
        <w:spacing w:after="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Definitions of Key Terms</w:t>
      </w:r>
    </w:p>
    <w:p w:rsidR="00000000" w:rsidDel="00000000" w:rsidP="00000000" w:rsidRDefault="00000000" w:rsidRPr="00000000" w14:paraId="00000009">
      <w:pPr>
        <w:spacing w:after="0" w:before="240"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An “</w:t>
      </w:r>
      <w:r w:rsidDel="00000000" w:rsidR="00000000" w:rsidRPr="00000000">
        <w:rPr>
          <w:rFonts w:ascii="Calibri" w:cs="Calibri" w:eastAsia="Calibri" w:hAnsi="Calibri"/>
          <w:b w:val="1"/>
          <w:rtl w:val="0"/>
        </w:rPr>
        <w:t xml:space="preserve">individual training account</w:t>
      </w:r>
      <w:r w:rsidDel="00000000" w:rsidR="00000000" w:rsidRPr="00000000">
        <w:rPr>
          <w:rFonts w:ascii="Calibri" w:cs="Calibri" w:eastAsia="Calibri" w:hAnsi="Calibri"/>
          <w:rtl w:val="0"/>
        </w:rPr>
        <w:t xml:space="preserve">” is a funding mechanism through which eligible individuals can access quality training to help obtain employment in high demand occupations.</w:t>
      </w:r>
      <w:r w:rsidDel="00000000" w:rsidR="00000000" w:rsidRPr="00000000">
        <w:rPr>
          <w:rtl w:val="0"/>
        </w:rPr>
      </w:r>
    </w:p>
    <w:p w:rsidR="00000000" w:rsidDel="00000000" w:rsidP="00000000" w:rsidRDefault="00000000" w:rsidRPr="00000000" w14:paraId="0000000A">
      <w:pPr>
        <w:spacing w:after="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Eligibility Requirements</w:t>
      </w:r>
    </w:p>
    <w:p w:rsidR="00000000" w:rsidDel="00000000" w:rsidP="00000000" w:rsidRDefault="00000000" w:rsidRPr="00000000" w14:paraId="0000000B">
      <w:pPr>
        <w:spacing w:after="0" w:before="240" w:line="240"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ITA funding is not guaranteed to any participant and is contingent on funding availability. WIOA Adult and Dislocated Worker participants may qualify for ITA funding if it is determined by PA CareerLink staff that they meet the following criteria:</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resident of the City of Pittsburgh or Allegheny County, or a worker dislocated from a City of Pittsburgh or Allegheny County work site;</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an interview, evaluation or assessment, and career planning, PA CareerLink® staff have determined that the individual:</w:t>
      </w:r>
    </w:p>
    <w:p w:rsidR="00000000" w:rsidDel="00000000" w:rsidP="00000000" w:rsidRDefault="00000000" w:rsidRPr="00000000" w14:paraId="000000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unlikely or unable to obtain or retain employment that leads to economic self-sufficiency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wages comparable to or higher than wages from previous employment through career services only;</w:t>
      </w:r>
    </w:p>
    <w:p w:rsidR="00000000" w:rsidDel="00000000" w:rsidP="00000000" w:rsidRDefault="00000000" w:rsidRPr="00000000" w14:paraId="0000000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 need of training services to obtain or retain employment leading to economic self-sufficiency or wages comparable to or higher than wages from previous employment;</w:t>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the skills and qualifications to participate successfully in training services.</w:t>
      </w:r>
    </w:p>
    <w:p w:rsidR="00000000" w:rsidDel="00000000" w:rsidP="00000000" w:rsidRDefault="00000000" w:rsidRPr="00000000" w14:paraId="00000011">
      <w:pPr>
        <w:keepNext w:val="1"/>
        <w:spacing w:after="0" w:line="240" w:lineRule="auto"/>
        <w:jc w:val="both"/>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2">
      <w:pPr>
        <w:keepNext w:val="1"/>
        <w:spacing w:after="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Policy</w:t>
      </w:r>
    </w:p>
    <w:p w:rsidR="00000000" w:rsidDel="00000000" w:rsidP="00000000" w:rsidRDefault="00000000" w:rsidRPr="00000000" w14:paraId="00000013">
      <w:pPr>
        <w:keepNext w:val="1"/>
        <w:spacing w:after="0" w:line="240" w:lineRule="auto"/>
        <w:jc w:val="both"/>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14">
      <w:pPr>
        <w:keepNext w:val="1"/>
        <w:spacing w:after="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ITA Funding </w:t>
      </w:r>
    </w:p>
    <w:p w:rsidR="00000000" w:rsidDel="00000000" w:rsidP="00000000" w:rsidRDefault="00000000" w:rsidRPr="00000000" w14:paraId="0000001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Participants may receive a maximum of $5,000 per ITA.</w:t>
      </w:r>
    </w:p>
    <w:p w:rsidR="00000000" w:rsidDel="00000000" w:rsidP="00000000" w:rsidRDefault="00000000" w:rsidRPr="00000000" w14:paraId="0000001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ITA funding will be issued based on training program enrollment/start and program completion. Training providers will receive 50% of the total ITA funding amount when a participant successfully enrolls into and begins an approved training program. Training providers will receive the remaining 50% of the total ITA funding amount when a participant successfully completes the approved training program. Information on this payment structure is further described in the training provider vendor agreement. </w:t>
      </w:r>
    </w:p>
    <w:p w:rsidR="00000000" w:rsidDel="00000000" w:rsidP="00000000" w:rsidRDefault="00000000" w:rsidRPr="00000000" w14:paraId="0000001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1"/>
        <w:spacing w:after="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Maximum Duration Limit of ITA </w:t>
      </w:r>
    </w:p>
    <w:p w:rsidR="00000000" w:rsidDel="00000000" w:rsidP="00000000" w:rsidRDefault="00000000" w:rsidRPr="00000000" w14:paraId="0000001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ITAs will be valid for up to two years. Under limited circumstances, a person may qualify for more than one ITA. An assessment must determine additional ITA-funded training is necessary, the training must be connected to an HPO along a career pathway, and individuals must have completed all prior ITA-funded training. Additional ITA-funded training requires prior approval from Partner4Work. All other requirements of this policy apply to the initial and additional ITAs awarded to an individual.</w:t>
      </w:r>
    </w:p>
    <w:p w:rsidR="00000000" w:rsidDel="00000000" w:rsidP="00000000" w:rsidRDefault="00000000" w:rsidRPr="00000000" w14:paraId="0000001B">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C">
      <w:pPr>
        <w:spacing w:after="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Expenses an ITA Will Cover</w:t>
      </w:r>
    </w:p>
    <w:p w:rsidR="00000000" w:rsidDel="00000000" w:rsidP="00000000" w:rsidRDefault="00000000" w:rsidRPr="00000000" w14:paraId="0000001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ITAs may be spent on tuition, fees, books, and school supplies (if the books and supplies are required by the school).  </w:t>
      </w:r>
    </w:p>
    <w:p w:rsidR="00000000" w:rsidDel="00000000" w:rsidP="00000000" w:rsidRDefault="00000000" w:rsidRPr="00000000" w14:paraId="0000001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1"/>
        <w:spacing w:after="0" w:line="240" w:lineRule="auto"/>
        <w:ind w:left="331" w:hanging="331"/>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Trainings covered by ITAs</w:t>
      </w:r>
    </w:p>
    <w:p w:rsidR="00000000" w:rsidDel="00000000" w:rsidP="00000000" w:rsidRDefault="00000000" w:rsidRPr="00000000" w14:paraId="0000002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Before awarding an ITA, PA CareerLink® staff should engage in employer conversations to confirm there are job placements available after a participant completes training.  ITAs will be awarded to quality training programs that appear on the Eligible Training Provider List (ETPL) in High Priority Occupations (HPOs) that require less than a bachelor’s degree. ITAs are designed to get people back into the labor force quickly.  An occupation requiring a bachelor’s degree or higher education is no longer eligible to receive ITA funding.  </w:t>
      </w:r>
    </w:p>
    <w:p w:rsidR="00000000" w:rsidDel="00000000" w:rsidP="00000000" w:rsidRDefault="00000000" w:rsidRPr="00000000" w14:paraId="00000021">
      <w:pP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If a customer is within range of a bachelor’s degree that can be achieved in the two year timeframe of an ITA and the customer can indicate how the remaining costs of training will be funded, the PA CareerLink® staff will discuss an exception basis for the customer.</w:t>
      </w:r>
    </w:p>
    <w:p w:rsidR="00000000" w:rsidDel="00000000" w:rsidP="00000000" w:rsidRDefault="00000000" w:rsidRPr="00000000" w14:paraId="0000002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Priority in ITA funding will be given to training programs providing an industry-recognized credential. Registered Apprenticeships listed on the ETPL qualify for ITA funding; participants are encouraged to consider an Apprenticeship as a viable career pathway. </w:t>
      </w:r>
    </w:p>
    <w:p w:rsidR="00000000" w:rsidDel="00000000" w:rsidP="00000000" w:rsidRDefault="00000000" w:rsidRPr="00000000" w14:paraId="0000002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ITAs should align with key industry sectors identified by Partner4Work. Partner4Work and the WIOA Title I Adult/Dislocated Worker provider(s) at PA CareerLink® Pittsburgh/Allegheny County will work to align training funds across programs to ensure a broad portfolio of strong training options.</w:t>
      </w:r>
    </w:p>
    <w:p w:rsidR="00000000" w:rsidDel="00000000" w:rsidP="00000000" w:rsidRDefault="00000000" w:rsidRPr="00000000" w14:paraId="0000002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Local workforce development boards (LWDBs) may set more stringent performance standards for training providers than the statewide minimum. Partner4Work has a commitment to ensuring that training providers offer high-quality training that will best prepare individuals to succeed in the workforce. For this reason, while participants may choose the training provider on the ETPL that best meets their needs, ITA funding for training providers on the statewide list not approved by Partner4Work must meet Partner4Work’s local ETPL standards and receive written approval from Partner4Work prior to receiving ITA funding.</w:t>
      </w:r>
    </w:p>
    <w:p w:rsidR="00000000" w:rsidDel="00000000" w:rsidP="00000000" w:rsidRDefault="00000000" w:rsidRPr="00000000" w14:paraId="00000029">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A">
      <w:pPr>
        <w:spacing w:after="0" w:line="240" w:lineRule="auto"/>
        <w:jc w:val="both"/>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Additional Information</w:t>
      </w:r>
    </w:p>
    <w:p w:rsidR="00000000" w:rsidDel="00000000" w:rsidP="00000000" w:rsidRDefault="00000000" w:rsidRPr="00000000" w14:paraId="0000002B">
      <w:pPr>
        <w:numPr>
          <w:ilvl w:val="0"/>
          <w:numId w:val="2"/>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Students are required to complete financial aid forms if the program qualifies. Pell, PHEAA, and related grants can be utilized concurrently with WIOA ITA funds but should be used before ITA funds when the participant qualifies. </w:t>
      </w:r>
    </w:p>
    <w:p w:rsidR="00000000" w:rsidDel="00000000" w:rsidP="00000000" w:rsidRDefault="00000000" w:rsidRPr="00000000" w14:paraId="0000002C">
      <w:pPr>
        <w:numPr>
          <w:ilvl w:val="0"/>
          <w:numId w:val="2"/>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Students must first be considered eligible and appropriate for training. If the training program selected is greater than $5,000, the student must indicate how the remaining costs of training will be funded.</w:t>
      </w:r>
    </w:p>
    <w:p w:rsidR="00000000" w:rsidDel="00000000" w:rsidP="00000000" w:rsidRDefault="00000000" w:rsidRPr="00000000" w14:paraId="0000002D">
      <w:pPr>
        <w:numPr>
          <w:ilvl w:val="0"/>
          <w:numId w:val="2"/>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ITAs will not be issued to any student who does not have a high school diploma, GED, or equivalent.</w:t>
      </w:r>
    </w:p>
    <w:p w:rsidR="00000000" w:rsidDel="00000000" w:rsidP="00000000" w:rsidRDefault="00000000" w:rsidRPr="00000000" w14:paraId="0000002E">
      <w:pPr>
        <w:numPr>
          <w:ilvl w:val="0"/>
          <w:numId w:val="2"/>
        </w:numPr>
        <w:spacing w:after="0" w:line="240"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ITA applications should be submitted to Partner4Work at least one week prior to the training start date for review and approval.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Exceptions: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limited circumstances, Partner4Work may grant exceptions to requirements within this policy. Requests for exceptions may be submitted to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asmith@partner4work.org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(Adult/Dislocated Worker Programs) or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mchristiansen@partner4work.org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(Youth Programs). Requests should include the following: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specific policy requirement for which an exception is being requested;</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 summary of the exception being requested and the reason for the exception; and</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WIOA programs, the Participant ID of the participant(s) for which an exception is being requested. For non-WIOA programs, the full name of the participant(s) for which an exception is being requested; or</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and FEIN of the business customer for which an exception is being requested.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 requests will be reviewed based on their allowability under WIOA and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3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rPr>
      </w:pPr>
      <w:r w:rsidDel="00000000" w:rsidR="00000000" w:rsidRPr="00000000">
        <w:rPr>
          <w:rFonts w:ascii="Calibri" w:cs="Calibri" w:eastAsia="Calibri" w:hAnsi="Calibri"/>
          <w:b w:val="1"/>
          <w:rtl w:val="0"/>
        </w:rPr>
        <w:t xml:space="preserve">Effective Date: </w:t>
      </w:r>
      <w:r w:rsidDel="00000000" w:rsidR="00000000" w:rsidRPr="00000000">
        <w:rPr>
          <w:rFonts w:ascii="Calibri" w:cs="Calibri" w:eastAsia="Calibri" w:hAnsi="Calibri"/>
          <w:b w:val="1"/>
          <w:rtl w:val="0"/>
        </w:rPr>
        <w:t xml:space="preserve">July 1, 2022</w:t>
      </w:r>
    </w:p>
    <w:p w:rsidR="00000000" w:rsidDel="00000000" w:rsidP="00000000" w:rsidRDefault="00000000" w:rsidRPr="00000000" w14:paraId="0000003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C">
      <w:pPr>
        <w:rPr>
          <w:rFonts w:ascii="Calibri" w:cs="Calibri" w:eastAsia="Calibri" w:hAnsi="Calibri"/>
          <w:u w:val="single"/>
        </w:rPr>
      </w:pPr>
      <w:r w:rsidDel="00000000" w:rsidR="00000000" w:rsidRPr="00000000">
        <w:rPr>
          <w:rFonts w:ascii="Calibri" w:cs="Calibri" w:eastAsia="Calibri" w:hAnsi="Calibri"/>
          <w:u w:val="single"/>
          <w:rtl w:val="0"/>
        </w:rPr>
        <w:t xml:space="preserve">Policy Updates</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8"/>
        <w:gridCol w:w="6858"/>
        <w:tblGridChange w:id="0">
          <w:tblGrid>
            <w:gridCol w:w="2718"/>
            <w:gridCol w:w="6858"/>
          </w:tblGrid>
        </w:tblGridChange>
      </w:tblGrid>
      <w:tr>
        <w:trPr>
          <w:cantSplit w:val="0"/>
          <w:tblHeader w:val="0"/>
        </w:trPr>
        <w:tc>
          <w:tcPr/>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Update</w:t>
            </w:r>
          </w:p>
        </w:tc>
      </w:tr>
      <w:tr>
        <w:trPr>
          <w:cantSplit w:val="0"/>
          <w:tblHeader w:val="0"/>
        </w:trPr>
        <w:tc>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04/07/2020</w:t>
            </w:r>
          </w:p>
        </w:tc>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Updated contact information for submitting policy exception requests. </w:t>
            </w:r>
          </w:p>
        </w:tc>
      </w:tr>
      <w:tr>
        <w:trPr>
          <w:cantSplit w:val="0"/>
          <w:tblHeader w:val="0"/>
        </w:trPr>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06/15/2020</w:t>
            </w:r>
          </w:p>
        </w:tc>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Revised eligibility requirements section for language clarification purposes only. No substantial policy changes were made to eligibility requirements.   </w:t>
            </w:r>
          </w:p>
        </w:tc>
      </w:tr>
      <w:tr>
        <w:trPr>
          <w:cantSplit w:val="0"/>
          <w:tblHeader w:val="0"/>
        </w:trPr>
        <w:tc>
          <w:tcPr/>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06/15/2020</w:t>
            </w:r>
          </w:p>
        </w:tc>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Removed “annually” from the ITA funding cap and established a $5,000 funding cap per ITA award. </w:t>
            </w:r>
          </w:p>
        </w:tc>
      </w:tr>
      <w:tr>
        <w:trPr>
          <w:cantSplit w:val="0"/>
          <w:tblHeader w:val="0"/>
        </w:trPr>
        <w:tc>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06/15/2020</w:t>
            </w:r>
          </w:p>
        </w:tc>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Revised language on qualifying for multiple ITAs to align more closely to the P4W WIOA Local Plan.</w:t>
            </w:r>
          </w:p>
        </w:tc>
      </w:tr>
      <w:tr>
        <w:trPr>
          <w:cantSplit w:val="0"/>
          <w:tblHeader w:val="0"/>
        </w:trPr>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09/11/2020</w:t>
            </w:r>
          </w:p>
        </w:tc>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Updated process for requesting exceptions to P4W policy requirements.</w:t>
            </w:r>
          </w:p>
        </w:tc>
      </w:tr>
      <w:tr>
        <w:trPr>
          <w:cantSplit w:val="0"/>
          <w:tblHeader w:val="0"/>
        </w:trPr>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10/02/2020</w:t>
            </w:r>
          </w:p>
        </w:tc>
        <w:tc>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Added: “ITA applications should be submitted to Partner4Work at least one week prior to the training start date for review and approval.”</w:t>
            </w:r>
          </w:p>
        </w:tc>
      </w:tr>
      <w:tr>
        <w:trPr>
          <w:cantSplit w:val="0"/>
          <w:tblHeader w:val="0"/>
        </w:trPr>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07/01/2022</w:t>
            </w:r>
          </w:p>
        </w:tc>
        <w:tc>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Added language describing the payment structure for ITA funding, including 50% payment at enrollment/start of program and 50% upon program completion. </w:t>
            </w:r>
          </w:p>
        </w:tc>
      </w:tr>
    </w:tbl>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See Partner4Work Self-Sufficiency Policy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104765" cy="89789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4765" cy="8978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46C5"/>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unhideWhenUsed w:val="1"/>
    <w:rsid w:val="00C346C5"/>
    <w:rPr>
      <w:color w:val="0000ff"/>
      <w:u w:val="single"/>
    </w:rPr>
  </w:style>
  <w:style w:type="paragraph" w:styleId="Header">
    <w:name w:val="header"/>
    <w:basedOn w:val="Normal"/>
    <w:link w:val="HeaderChar"/>
    <w:uiPriority w:val="99"/>
    <w:unhideWhenUsed w:val="1"/>
    <w:rsid w:val="007C5B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5B31"/>
    <w:rPr>
      <w:rFonts w:ascii="Calibri" w:cs="Times New Roman" w:eastAsia="Calibri" w:hAnsi="Calibri"/>
    </w:rPr>
  </w:style>
  <w:style w:type="paragraph" w:styleId="Footer">
    <w:name w:val="footer"/>
    <w:basedOn w:val="Normal"/>
    <w:link w:val="FooterChar"/>
    <w:uiPriority w:val="99"/>
    <w:unhideWhenUsed w:val="1"/>
    <w:rsid w:val="007C5B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5B31"/>
    <w:rPr>
      <w:rFonts w:ascii="Calibri" w:cs="Times New Roman" w:eastAsia="Calibri" w:hAnsi="Calibri"/>
    </w:rPr>
  </w:style>
  <w:style w:type="paragraph" w:styleId="BalloonText">
    <w:name w:val="Balloon Text"/>
    <w:basedOn w:val="Normal"/>
    <w:link w:val="BalloonTextChar"/>
    <w:uiPriority w:val="99"/>
    <w:semiHidden w:val="1"/>
    <w:unhideWhenUsed w:val="1"/>
    <w:rsid w:val="007C5B3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C5B31"/>
    <w:rPr>
      <w:rFonts w:ascii="Tahoma" w:cs="Tahoma" w:eastAsia="Calibri" w:hAnsi="Tahoma"/>
      <w:sz w:val="16"/>
      <w:szCs w:val="16"/>
    </w:rPr>
  </w:style>
  <w:style w:type="character" w:styleId="CommentReference">
    <w:name w:val="annotation reference"/>
    <w:basedOn w:val="DefaultParagraphFont"/>
    <w:uiPriority w:val="99"/>
    <w:semiHidden w:val="1"/>
    <w:unhideWhenUsed w:val="1"/>
    <w:rsid w:val="00FE44F4"/>
    <w:rPr>
      <w:sz w:val="16"/>
      <w:szCs w:val="16"/>
    </w:rPr>
  </w:style>
  <w:style w:type="paragraph" w:styleId="CommentText">
    <w:name w:val="annotation text"/>
    <w:basedOn w:val="Normal"/>
    <w:link w:val="CommentTextChar"/>
    <w:uiPriority w:val="99"/>
    <w:semiHidden w:val="1"/>
    <w:unhideWhenUsed w:val="1"/>
    <w:rsid w:val="00FE44F4"/>
    <w:pPr>
      <w:spacing w:line="240" w:lineRule="auto"/>
    </w:pPr>
    <w:rPr>
      <w:sz w:val="20"/>
      <w:szCs w:val="20"/>
    </w:rPr>
  </w:style>
  <w:style w:type="character" w:styleId="CommentTextChar" w:customStyle="1">
    <w:name w:val="Comment Text Char"/>
    <w:basedOn w:val="DefaultParagraphFont"/>
    <w:link w:val="CommentText"/>
    <w:uiPriority w:val="99"/>
    <w:semiHidden w:val="1"/>
    <w:rsid w:val="00FE44F4"/>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FE44F4"/>
    <w:rPr>
      <w:b w:val="1"/>
      <w:bCs w:val="1"/>
    </w:rPr>
  </w:style>
  <w:style w:type="character" w:styleId="CommentSubjectChar" w:customStyle="1">
    <w:name w:val="Comment Subject Char"/>
    <w:basedOn w:val="CommentTextChar"/>
    <w:link w:val="CommentSubject"/>
    <w:uiPriority w:val="99"/>
    <w:semiHidden w:val="1"/>
    <w:rsid w:val="00FE44F4"/>
    <w:rPr>
      <w:rFonts w:ascii="Calibri" w:cs="Times New Roman" w:eastAsia="Calibri" w:hAnsi="Calibri"/>
      <w:b w:val="1"/>
      <w:bCs w:val="1"/>
      <w:sz w:val="20"/>
      <w:szCs w:val="20"/>
    </w:rPr>
  </w:style>
  <w:style w:type="paragraph" w:styleId="ListParagraph">
    <w:name w:val="List Paragraph"/>
    <w:basedOn w:val="Normal"/>
    <w:uiPriority w:val="34"/>
    <w:qFormat w:val="1"/>
    <w:rsid w:val="00060F7E"/>
    <w:pPr>
      <w:ind w:left="720"/>
      <w:contextualSpacing w:val="1"/>
    </w:pPr>
  </w:style>
  <w:style w:type="character" w:styleId="UnresolvedMention">
    <w:name w:val="Unresolved Mention"/>
    <w:basedOn w:val="DefaultParagraphFont"/>
    <w:uiPriority w:val="99"/>
    <w:semiHidden w:val="1"/>
    <w:unhideWhenUsed w:val="1"/>
    <w:rsid w:val="0072002A"/>
    <w:rPr>
      <w:color w:val="605e5c"/>
      <w:shd w:color="auto" w:fill="e1dfdd" w:val="clear"/>
    </w:rPr>
  </w:style>
  <w:style w:type="paragraph" w:styleId="FootnoteText">
    <w:name w:val="footnote text"/>
    <w:basedOn w:val="Normal"/>
    <w:link w:val="FootnoteTextChar"/>
    <w:uiPriority w:val="99"/>
    <w:semiHidden w:val="1"/>
    <w:unhideWhenUsed w:val="1"/>
    <w:rsid w:val="0001439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1439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014390"/>
    <w:rPr>
      <w:vertAlign w:val="superscript"/>
    </w:rPr>
  </w:style>
  <w:style w:type="table" w:styleId="TableGrid">
    <w:name w:val="Table Grid"/>
    <w:basedOn w:val="TableNormal"/>
    <w:uiPriority w:val="59"/>
    <w:rsid w:val="001D79F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9C438F"/>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mchristiansen@partner4work.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asmith@partner4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61GbF9Un/vxJu9zP2tU95Lvpw==">AMUW2mWTrL9u5cjdKYIeZsBqYkHnCM2KDjAuOB42rA1nDI9sJkZCruMN3KNODbsb/FWW9tnrk3gncc5/5gprIwTvGNCGhL1F6leskC3KSJUZa+egXm0IFP/y3wO+TV/qX6i9qakvhgv6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2022-05-18T20:14:00Z</dcterms:created>
  <dc:creator>Susie Puskar</dc:creator>
</cp:coreProperties>
</file>